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86B" w:rsidRPr="00537AD5" w:rsidRDefault="00C1086B" w:rsidP="00C1086B">
      <w:pPr>
        <w:pStyle w:val="Heading1"/>
        <w:spacing w:before="120" w:after="120" w:line="360" w:lineRule="auto"/>
        <w:jc w:val="both"/>
        <w:rPr>
          <w:rFonts w:ascii="Times New Roman" w:hAnsi="Times New Roman" w:cs="Times New Roman"/>
          <w:b w:val="0"/>
          <w:color w:val="auto"/>
          <w:lang w:val="pt-BR"/>
        </w:rPr>
      </w:pPr>
      <w:r w:rsidRPr="00537AD5">
        <w:rPr>
          <w:rFonts w:ascii="Times New Roman" w:hAnsi="Times New Roman" w:cs="Times New Roman"/>
          <w:color w:val="auto"/>
          <w:sz w:val="24"/>
          <w:szCs w:val="24"/>
          <w:lang w:val="pt-BR"/>
        </w:rPr>
        <w:t xml:space="preserve">HÌNH VÀ NỀN </w:t>
      </w:r>
      <w:r w:rsidRPr="00537AD5">
        <w:rPr>
          <w:rFonts w:ascii="Times New Roman" w:hAnsi="Times New Roman" w:cs="Times New Roman"/>
          <w:color w:val="auto"/>
          <w:lang w:val="pt-BR"/>
        </w:rPr>
        <w:t>(Figure/Ground)</w:t>
      </w:r>
      <w:r w:rsidRPr="00537AD5">
        <w:rPr>
          <w:rFonts w:ascii="Times New Roman" w:hAnsi="Times New Roman" w:cs="Times New Roman"/>
          <w:b w:val="0"/>
          <w:color w:val="auto"/>
          <w:lang w:val="pt-BR"/>
        </w:rPr>
        <w:t>,</w:t>
      </w:r>
      <w:r w:rsidRPr="00537AD5">
        <w:rPr>
          <w:rFonts w:ascii="Times New Roman" w:hAnsi="Times New Roman" w:cs="Times New Roman"/>
          <w:color w:val="auto"/>
          <w:lang w:val="pt-BR"/>
        </w:rPr>
        <w:t xml:space="preserve"> </w:t>
      </w:r>
      <w:r w:rsidRPr="00537AD5">
        <w:rPr>
          <w:rFonts w:ascii="Times New Roman" w:hAnsi="Times New Roman" w:cs="Times New Roman"/>
          <w:b w:val="0"/>
          <w:color w:val="auto"/>
          <w:lang w:val="pt-BR"/>
        </w:rPr>
        <w:t>hai thành tố quan trọng trong lĩnh vực ngữ nghĩa - ngữ pháp tri nhận. Hình, yếu tố nổi trội, tập trung chú ý, được chọn làm chủ thể biểu đạt, trong khi nền, yếu tố ít được chú ý, là môi trường hay bối cảnh chung trong quy chiếu với hình.</w:t>
      </w:r>
    </w:p>
    <w:p w:rsidR="00C1086B" w:rsidRPr="00537AD5" w:rsidRDefault="00C1086B" w:rsidP="00C1086B">
      <w:pPr>
        <w:spacing w:before="120" w:after="120" w:line="360" w:lineRule="auto"/>
        <w:ind w:firstLine="567"/>
        <w:jc w:val="both"/>
        <w:rPr>
          <w:rFonts w:eastAsiaTheme="majorEastAsia"/>
          <w:lang w:val="pt-BR"/>
        </w:rPr>
      </w:pPr>
      <w:r w:rsidRPr="00537AD5">
        <w:rPr>
          <w:rFonts w:eastAsiaTheme="majorEastAsia"/>
          <w:lang w:val="pt-BR"/>
        </w:rPr>
        <w:t>HVN còn liên quan đến việc tổ chức hệ thống ý niệm, trong đó, để hiểu một ý niệm bất kỳ (Bóng ý niệm, Concept profile) trong một cấu trúc toàn thể (Nền ý niệm, Concept base), ta phải đặt chúng vào trong hệ thống ấy. Nói cách khác, phải xem xét ý niệm đó trong một miền nền hữu quan, trong một khung nền hữu quan.</w:t>
      </w:r>
    </w:p>
    <w:p w:rsidR="00C1086B" w:rsidRPr="00537AD5" w:rsidRDefault="00C1086B" w:rsidP="00C1086B">
      <w:pPr>
        <w:spacing w:before="120" w:after="120" w:line="360" w:lineRule="auto"/>
        <w:ind w:firstLine="567"/>
        <w:jc w:val="both"/>
        <w:rPr>
          <w:rFonts w:eastAsiaTheme="majorEastAsia"/>
          <w:lang w:val="pt-BR"/>
        </w:rPr>
      </w:pPr>
      <w:r w:rsidRPr="00537AD5">
        <w:rPr>
          <w:rFonts w:eastAsiaTheme="majorEastAsia"/>
          <w:lang w:val="pt-BR"/>
        </w:rPr>
        <w:t>Ví dụ, (i) Con vịt bơi qua sông, con vịt là hình, bơi qua  sông là nền; (ii) Bán kính của vòng tròn, bán kính là hình, vòng tròn là nền. Trong tri nhận, với tư cách là một cấu trúc toàn thể, nền ở đây còn có nhiều hình khác như: tâm, đường kính, dây cung. Tương tự, với cấu trúc toàn thể, đầu chỉ là một trong những bộ phận (hình) trong mối quan hệ với miền ý niệm cơ thể con người (nền).</w:t>
      </w:r>
    </w:p>
    <w:p w:rsidR="00C1086B" w:rsidRPr="00537AD5" w:rsidRDefault="00C1086B" w:rsidP="00C1086B">
      <w:pPr>
        <w:spacing w:before="120" w:after="120" w:line="360" w:lineRule="auto"/>
        <w:ind w:firstLine="567"/>
        <w:jc w:val="both"/>
        <w:rPr>
          <w:rFonts w:eastAsiaTheme="majorEastAsia"/>
          <w:lang w:val="pt-BR"/>
        </w:rPr>
      </w:pPr>
      <w:r w:rsidRPr="00537AD5">
        <w:rPr>
          <w:rFonts w:eastAsiaTheme="majorEastAsia"/>
          <w:lang w:val="pt-BR"/>
        </w:rPr>
        <w:t xml:space="preserve">HVN vốn là hệ thuật ngữ của tâm lí học Gestalt liên quan đến cảm nhận thị giác, được vận dụng rộng rãi trong ngôn ngữ học, nhất là ngôn ngữ học tri nhận. Xét hai ví dụ sau: </w:t>
      </w:r>
    </w:p>
    <w:p w:rsidR="00C1086B" w:rsidRPr="00537AD5" w:rsidRDefault="00C1086B" w:rsidP="00C1086B">
      <w:pPr>
        <w:spacing w:before="120" w:after="120" w:line="360" w:lineRule="auto"/>
        <w:ind w:firstLine="567"/>
        <w:jc w:val="both"/>
        <w:rPr>
          <w:rFonts w:eastAsiaTheme="majorEastAsia"/>
          <w:lang w:val="pt-BR"/>
        </w:rPr>
      </w:pPr>
      <w:r w:rsidRPr="00537AD5">
        <w:rPr>
          <w:rFonts w:eastAsiaTheme="majorEastAsia"/>
          <w:lang w:val="pt-BR"/>
        </w:rPr>
        <w:t>(i) Chiếc xe đạp bên cạnh ngôi nhà.</w:t>
      </w:r>
    </w:p>
    <w:p w:rsidR="00C1086B" w:rsidRPr="00537AD5" w:rsidRDefault="00C1086B" w:rsidP="00C1086B">
      <w:pPr>
        <w:spacing w:before="120" w:after="120" w:line="360" w:lineRule="auto"/>
        <w:ind w:firstLine="567"/>
        <w:jc w:val="both"/>
        <w:rPr>
          <w:rFonts w:eastAsiaTheme="majorEastAsia"/>
          <w:lang w:val="pt-BR"/>
        </w:rPr>
      </w:pPr>
      <w:r w:rsidRPr="00537AD5">
        <w:rPr>
          <w:rFonts w:eastAsiaTheme="majorEastAsia"/>
          <w:lang w:val="pt-BR"/>
        </w:rPr>
        <w:t xml:space="preserve">(ii) Ngôi nhà bên cạnh chiếc xe đạp. </w:t>
      </w:r>
    </w:p>
    <w:p w:rsidR="00C1086B" w:rsidRPr="00537AD5" w:rsidRDefault="00C1086B" w:rsidP="00C1086B">
      <w:pPr>
        <w:spacing w:before="120" w:after="120" w:line="360" w:lineRule="auto"/>
        <w:ind w:firstLine="567"/>
        <w:jc w:val="both"/>
        <w:rPr>
          <w:rFonts w:eastAsiaTheme="majorEastAsia"/>
          <w:lang w:val="pt-BR"/>
        </w:rPr>
      </w:pPr>
      <w:r w:rsidRPr="00537AD5">
        <w:rPr>
          <w:rFonts w:eastAsiaTheme="majorEastAsia"/>
          <w:lang w:val="pt-BR"/>
        </w:rPr>
        <w:t xml:space="preserve">Sở dĩ, (ii) nghe không thuận tai, vì trong tương quan với nền (Chiếc xe đạp), hình (Ngôi nhà) không thỏa mãn được một số yêu cầu về tri nhận như: nổi trội, nhỏ hơn, có khả năng di chuyển, lệ thuộc. Nói cách khác, trong trường hợp này, </w:t>
      </w:r>
      <w:r w:rsidRPr="00537AD5">
        <w:rPr>
          <w:rFonts w:eastAsiaTheme="majorEastAsia"/>
          <w:i/>
          <w:lang w:val="pt-BR"/>
        </w:rPr>
        <w:t>Ngôi nhà</w:t>
      </w:r>
      <w:r w:rsidRPr="00537AD5">
        <w:rPr>
          <w:rFonts w:eastAsiaTheme="majorEastAsia"/>
          <w:lang w:val="pt-BR"/>
        </w:rPr>
        <w:t xml:space="preserve"> không thể là tiền cảnh mà chỉ có thể là hậu cảnh, tức là nền.</w:t>
      </w:r>
    </w:p>
    <w:p w:rsidR="00C1086B" w:rsidRPr="00537AD5" w:rsidRDefault="00C1086B" w:rsidP="00C1086B">
      <w:pPr>
        <w:spacing w:before="120" w:after="120" w:line="360" w:lineRule="auto"/>
        <w:ind w:firstLine="567"/>
        <w:jc w:val="both"/>
        <w:rPr>
          <w:rFonts w:eastAsiaTheme="majorEastAsia"/>
          <w:lang w:val="pt-BR"/>
        </w:rPr>
      </w:pPr>
      <w:r w:rsidRPr="00537AD5">
        <w:rPr>
          <w:rFonts w:eastAsiaTheme="majorEastAsia"/>
          <w:lang w:val="pt-BR"/>
        </w:rPr>
        <w:t>Có thể lược quy một số đặc điểm của HVN bằng bảng sau:</w:t>
      </w:r>
    </w:p>
    <w:tbl>
      <w:tblPr>
        <w:tblStyle w:val="TableGrid"/>
        <w:tblW w:w="9177" w:type="dxa"/>
        <w:tblLook w:val="04A0" w:firstRow="1" w:lastRow="0" w:firstColumn="1" w:lastColumn="0" w:noHBand="0" w:noVBand="1"/>
      </w:tblPr>
      <w:tblGrid>
        <w:gridCol w:w="1975"/>
        <w:gridCol w:w="2970"/>
        <w:gridCol w:w="4232"/>
      </w:tblGrid>
      <w:tr w:rsidR="00C1086B" w:rsidRPr="00537AD5" w:rsidTr="00235DBA">
        <w:tc>
          <w:tcPr>
            <w:tcW w:w="1975" w:type="dxa"/>
            <w:vMerge w:val="restart"/>
            <w:vAlign w:val="center"/>
          </w:tcPr>
          <w:p w:rsidR="00C1086B" w:rsidRPr="00537AD5" w:rsidRDefault="00C1086B" w:rsidP="00235DBA">
            <w:pPr>
              <w:spacing w:line="360" w:lineRule="auto"/>
              <w:jc w:val="center"/>
              <w:rPr>
                <w:rFonts w:eastAsiaTheme="majorEastAsia"/>
                <w:lang w:val="pt-BR"/>
              </w:rPr>
            </w:pPr>
            <w:r w:rsidRPr="00537AD5">
              <w:rPr>
                <w:rFonts w:eastAsiaTheme="majorEastAsia"/>
                <w:lang w:val="pt-BR"/>
              </w:rPr>
              <w:t>Đặc điểm</w:t>
            </w:r>
          </w:p>
        </w:tc>
        <w:tc>
          <w:tcPr>
            <w:tcW w:w="7202" w:type="dxa"/>
            <w:gridSpan w:val="2"/>
            <w:vAlign w:val="center"/>
          </w:tcPr>
          <w:p w:rsidR="00C1086B" w:rsidRPr="00537AD5" w:rsidRDefault="00C1086B" w:rsidP="00235DBA">
            <w:pPr>
              <w:spacing w:line="360" w:lineRule="auto"/>
              <w:jc w:val="center"/>
              <w:rPr>
                <w:rFonts w:eastAsiaTheme="majorEastAsia"/>
                <w:lang w:val="pt-BR"/>
              </w:rPr>
            </w:pPr>
            <w:r w:rsidRPr="00537AD5">
              <w:rPr>
                <w:rFonts w:eastAsiaTheme="majorEastAsia"/>
                <w:lang w:val="pt-BR"/>
              </w:rPr>
              <w:t>Tổ chức HVN</w:t>
            </w:r>
          </w:p>
        </w:tc>
      </w:tr>
      <w:tr w:rsidR="00C1086B" w:rsidRPr="00537AD5" w:rsidTr="00235DBA">
        <w:tc>
          <w:tcPr>
            <w:tcW w:w="1975" w:type="dxa"/>
            <w:vMerge/>
            <w:vAlign w:val="center"/>
          </w:tcPr>
          <w:p w:rsidR="00C1086B" w:rsidRPr="00537AD5" w:rsidRDefault="00C1086B" w:rsidP="00235DBA">
            <w:pPr>
              <w:spacing w:line="360" w:lineRule="auto"/>
              <w:ind w:firstLine="567"/>
              <w:jc w:val="center"/>
              <w:rPr>
                <w:rFonts w:eastAsiaTheme="majorEastAsia"/>
                <w:lang w:val="pt-BR"/>
              </w:rPr>
            </w:pPr>
          </w:p>
        </w:tc>
        <w:tc>
          <w:tcPr>
            <w:tcW w:w="2970" w:type="dxa"/>
            <w:vAlign w:val="center"/>
          </w:tcPr>
          <w:p w:rsidR="00C1086B" w:rsidRPr="00537AD5" w:rsidRDefault="00C1086B" w:rsidP="00235DBA">
            <w:pPr>
              <w:spacing w:line="360" w:lineRule="auto"/>
              <w:jc w:val="center"/>
              <w:rPr>
                <w:rFonts w:eastAsiaTheme="majorEastAsia"/>
                <w:lang w:val="pt-BR"/>
              </w:rPr>
            </w:pPr>
            <w:r w:rsidRPr="00537AD5">
              <w:rPr>
                <w:rFonts w:eastAsiaTheme="majorEastAsia"/>
                <w:lang w:val="pt-BR"/>
              </w:rPr>
              <w:t>Hình</w:t>
            </w:r>
          </w:p>
        </w:tc>
        <w:tc>
          <w:tcPr>
            <w:tcW w:w="4231" w:type="dxa"/>
            <w:vAlign w:val="center"/>
          </w:tcPr>
          <w:p w:rsidR="00C1086B" w:rsidRPr="00537AD5" w:rsidRDefault="00C1086B" w:rsidP="00235DBA">
            <w:pPr>
              <w:spacing w:line="360" w:lineRule="auto"/>
              <w:jc w:val="center"/>
              <w:rPr>
                <w:rFonts w:eastAsiaTheme="majorEastAsia"/>
                <w:lang w:val="pt-BR"/>
              </w:rPr>
            </w:pPr>
            <w:r w:rsidRPr="00537AD5">
              <w:rPr>
                <w:rFonts w:eastAsiaTheme="majorEastAsia"/>
                <w:lang w:val="pt-BR"/>
              </w:rPr>
              <w:t>Nền</w:t>
            </w:r>
          </w:p>
        </w:tc>
      </w:tr>
      <w:tr w:rsidR="00C1086B" w:rsidRPr="00D408B5" w:rsidTr="00235DBA">
        <w:tc>
          <w:tcPr>
            <w:tcW w:w="1975" w:type="dxa"/>
            <w:vAlign w:val="center"/>
          </w:tcPr>
          <w:p w:rsidR="00C1086B" w:rsidRPr="00537AD5" w:rsidRDefault="00C1086B" w:rsidP="00235DBA">
            <w:pPr>
              <w:spacing w:line="360" w:lineRule="auto"/>
              <w:jc w:val="center"/>
              <w:rPr>
                <w:rFonts w:eastAsiaTheme="majorEastAsia"/>
                <w:lang w:val="pt-BR"/>
              </w:rPr>
            </w:pPr>
            <w:r w:rsidRPr="00537AD5">
              <w:rPr>
                <w:rFonts w:eastAsiaTheme="majorEastAsia"/>
                <w:lang w:val="pt-BR"/>
              </w:rPr>
              <w:lastRenderedPageBreak/>
              <w:t>Không gian</w:t>
            </w:r>
          </w:p>
        </w:tc>
        <w:tc>
          <w:tcPr>
            <w:tcW w:w="2970" w:type="dxa"/>
          </w:tcPr>
          <w:p w:rsidR="00C1086B" w:rsidRPr="00537AD5" w:rsidRDefault="00C1086B" w:rsidP="00235DBA">
            <w:pPr>
              <w:spacing w:line="360" w:lineRule="auto"/>
              <w:jc w:val="center"/>
              <w:rPr>
                <w:rFonts w:eastAsiaTheme="majorEastAsia"/>
                <w:lang w:val="pt-BR"/>
              </w:rPr>
            </w:pPr>
            <w:r w:rsidRPr="00537AD5">
              <w:rPr>
                <w:rFonts w:eastAsiaTheme="majorEastAsia"/>
                <w:lang w:val="pt-BR"/>
              </w:rPr>
              <w:t>- Chưa xác định</w:t>
            </w:r>
          </w:p>
          <w:p w:rsidR="00C1086B" w:rsidRPr="00537AD5" w:rsidRDefault="00C1086B" w:rsidP="00235DBA">
            <w:pPr>
              <w:spacing w:line="360" w:lineRule="auto"/>
              <w:jc w:val="center"/>
              <w:rPr>
                <w:rFonts w:eastAsiaTheme="majorEastAsia"/>
                <w:lang w:val="pt-BR"/>
              </w:rPr>
            </w:pPr>
            <w:r w:rsidRPr="00537AD5">
              <w:rPr>
                <w:rFonts w:eastAsiaTheme="majorEastAsia"/>
                <w:lang w:val="pt-BR"/>
              </w:rPr>
              <w:t>- Chưa định vị</w:t>
            </w:r>
          </w:p>
        </w:tc>
        <w:tc>
          <w:tcPr>
            <w:tcW w:w="4231" w:type="dxa"/>
          </w:tcPr>
          <w:p w:rsidR="00C1086B" w:rsidRPr="00537AD5" w:rsidRDefault="00C1086B" w:rsidP="00235DBA">
            <w:pPr>
              <w:spacing w:line="360" w:lineRule="auto"/>
              <w:jc w:val="center"/>
              <w:rPr>
                <w:rFonts w:eastAsiaTheme="majorEastAsia"/>
                <w:lang w:val="pt-BR"/>
              </w:rPr>
            </w:pPr>
            <w:r w:rsidRPr="00537AD5">
              <w:rPr>
                <w:rFonts w:eastAsiaTheme="majorEastAsia"/>
                <w:lang w:val="pt-BR"/>
              </w:rPr>
              <w:t>- Đã xác định</w:t>
            </w:r>
          </w:p>
          <w:p w:rsidR="00C1086B" w:rsidRPr="00537AD5" w:rsidRDefault="00C1086B" w:rsidP="00235DBA">
            <w:pPr>
              <w:spacing w:line="360" w:lineRule="auto"/>
              <w:jc w:val="center"/>
              <w:rPr>
                <w:rFonts w:eastAsiaTheme="majorEastAsia"/>
                <w:lang w:val="pt-BR"/>
              </w:rPr>
            </w:pPr>
            <w:r w:rsidRPr="00537AD5">
              <w:rPr>
                <w:rFonts w:eastAsiaTheme="majorEastAsia"/>
                <w:lang w:val="pt-BR"/>
              </w:rPr>
              <w:t>- Đã định vị (bối cảnh quy chiếu)</w:t>
            </w:r>
          </w:p>
        </w:tc>
      </w:tr>
      <w:tr w:rsidR="00C1086B" w:rsidRPr="00537AD5" w:rsidTr="00235DBA">
        <w:tc>
          <w:tcPr>
            <w:tcW w:w="1975" w:type="dxa"/>
            <w:vAlign w:val="center"/>
          </w:tcPr>
          <w:p w:rsidR="00C1086B" w:rsidRPr="00537AD5" w:rsidRDefault="00C1086B" w:rsidP="00235DBA">
            <w:pPr>
              <w:spacing w:line="360" w:lineRule="auto"/>
              <w:jc w:val="center"/>
              <w:rPr>
                <w:rFonts w:eastAsiaTheme="majorEastAsia"/>
                <w:lang w:val="pt-BR"/>
              </w:rPr>
            </w:pPr>
            <w:r w:rsidRPr="00537AD5">
              <w:rPr>
                <w:rFonts w:eastAsiaTheme="majorEastAsia"/>
                <w:lang w:val="pt-BR"/>
              </w:rPr>
              <w:t>Tri nhận/ nhận diện</w:t>
            </w:r>
          </w:p>
        </w:tc>
        <w:tc>
          <w:tcPr>
            <w:tcW w:w="2970" w:type="dxa"/>
          </w:tcPr>
          <w:p w:rsidR="00C1086B" w:rsidRPr="00537AD5" w:rsidRDefault="00C1086B" w:rsidP="00235DBA">
            <w:pPr>
              <w:spacing w:line="360" w:lineRule="auto"/>
              <w:jc w:val="center"/>
              <w:rPr>
                <w:rFonts w:eastAsiaTheme="majorEastAsia"/>
                <w:lang w:val="pt-BR"/>
              </w:rPr>
            </w:pPr>
            <w:r w:rsidRPr="00537AD5">
              <w:rPr>
                <w:rFonts w:eastAsiaTheme="majorEastAsia"/>
                <w:lang w:val="pt-BR"/>
              </w:rPr>
              <w:t>- Nổi trội</w:t>
            </w:r>
          </w:p>
          <w:p w:rsidR="00C1086B" w:rsidRPr="00537AD5" w:rsidRDefault="00C1086B" w:rsidP="00235DBA">
            <w:pPr>
              <w:spacing w:line="360" w:lineRule="auto"/>
              <w:jc w:val="center"/>
              <w:rPr>
                <w:rFonts w:eastAsiaTheme="majorEastAsia"/>
                <w:lang w:val="pt-BR"/>
              </w:rPr>
            </w:pPr>
            <w:r w:rsidRPr="00537AD5">
              <w:rPr>
                <w:rFonts w:eastAsiaTheme="majorEastAsia"/>
                <w:lang w:val="pt-BR"/>
              </w:rPr>
              <w:t>- Chú ý (tiêu điểm)</w:t>
            </w:r>
          </w:p>
          <w:p w:rsidR="00C1086B" w:rsidRPr="00537AD5" w:rsidRDefault="00C1086B" w:rsidP="00235DBA">
            <w:pPr>
              <w:spacing w:line="360" w:lineRule="auto"/>
              <w:jc w:val="center"/>
              <w:rPr>
                <w:rFonts w:eastAsiaTheme="majorEastAsia"/>
                <w:lang w:val="pt-BR"/>
              </w:rPr>
            </w:pPr>
            <w:r w:rsidRPr="00537AD5">
              <w:rPr>
                <w:rFonts w:eastAsiaTheme="majorEastAsia"/>
                <w:lang w:val="pt-BR"/>
              </w:rPr>
              <w:t>- Trước</w:t>
            </w:r>
          </w:p>
          <w:p w:rsidR="00C1086B" w:rsidRPr="00537AD5" w:rsidRDefault="00C1086B" w:rsidP="00235DBA">
            <w:pPr>
              <w:spacing w:line="360" w:lineRule="auto"/>
              <w:jc w:val="center"/>
              <w:rPr>
                <w:rFonts w:eastAsiaTheme="majorEastAsia"/>
                <w:lang w:val="pt-BR"/>
              </w:rPr>
            </w:pPr>
            <w:r w:rsidRPr="00537AD5">
              <w:rPr>
                <w:rFonts w:eastAsiaTheme="majorEastAsia"/>
                <w:lang w:val="pt-BR"/>
              </w:rPr>
              <w:t>- Gần</w:t>
            </w:r>
          </w:p>
          <w:p w:rsidR="00C1086B" w:rsidRPr="00537AD5" w:rsidRDefault="00C1086B" w:rsidP="00235DBA">
            <w:pPr>
              <w:spacing w:line="360" w:lineRule="auto"/>
              <w:jc w:val="center"/>
              <w:rPr>
                <w:rFonts w:eastAsiaTheme="majorEastAsia"/>
                <w:lang w:val="pt-BR"/>
              </w:rPr>
            </w:pPr>
            <w:r w:rsidRPr="00537AD5">
              <w:rPr>
                <w:rFonts w:eastAsiaTheme="majorEastAsia"/>
                <w:lang w:val="pt-BR"/>
              </w:rPr>
              <w:t>- Ít hơn</w:t>
            </w:r>
          </w:p>
          <w:p w:rsidR="00C1086B" w:rsidRPr="00537AD5" w:rsidRDefault="00C1086B" w:rsidP="00235DBA">
            <w:pPr>
              <w:spacing w:line="360" w:lineRule="auto"/>
              <w:jc w:val="center"/>
              <w:rPr>
                <w:rFonts w:eastAsiaTheme="majorEastAsia"/>
                <w:lang w:val="pt-BR"/>
              </w:rPr>
            </w:pPr>
            <w:r w:rsidRPr="00537AD5">
              <w:rPr>
                <w:rFonts w:eastAsiaTheme="majorEastAsia"/>
                <w:lang w:val="pt-BR"/>
              </w:rPr>
              <w:t>- Cụ thể hơn</w:t>
            </w:r>
          </w:p>
          <w:p w:rsidR="00C1086B" w:rsidRPr="00537AD5" w:rsidRDefault="00C1086B" w:rsidP="00235DBA">
            <w:pPr>
              <w:spacing w:line="360" w:lineRule="auto"/>
              <w:jc w:val="center"/>
              <w:rPr>
                <w:rFonts w:eastAsiaTheme="majorEastAsia"/>
                <w:lang w:val="pt-BR"/>
              </w:rPr>
            </w:pPr>
            <w:r w:rsidRPr="00537AD5">
              <w:rPr>
                <w:rFonts w:eastAsiaTheme="majorEastAsia"/>
                <w:lang w:val="pt-BR"/>
              </w:rPr>
              <w:t>- Dễ quan sát</w:t>
            </w:r>
          </w:p>
          <w:p w:rsidR="00C1086B" w:rsidRPr="00537AD5" w:rsidRDefault="00C1086B" w:rsidP="00235DBA">
            <w:pPr>
              <w:spacing w:line="360" w:lineRule="auto"/>
              <w:jc w:val="center"/>
              <w:rPr>
                <w:rFonts w:eastAsiaTheme="majorEastAsia"/>
                <w:lang w:val="pt-BR"/>
              </w:rPr>
            </w:pPr>
            <w:r w:rsidRPr="00537AD5">
              <w:rPr>
                <w:rFonts w:eastAsiaTheme="majorEastAsia"/>
                <w:lang w:val="pt-BR"/>
              </w:rPr>
              <w:t>- Dễ ghi nhớ</w:t>
            </w:r>
          </w:p>
          <w:p w:rsidR="00C1086B" w:rsidRPr="00537AD5" w:rsidRDefault="00C1086B" w:rsidP="00235DBA">
            <w:pPr>
              <w:spacing w:line="360" w:lineRule="auto"/>
              <w:jc w:val="center"/>
              <w:rPr>
                <w:rFonts w:eastAsiaTheme="majorEastAsia"/>
                <w:lang w:val="pt-BR"/>
              </w:rPr>
            </w:pPr>
            <w:r w:rsidRPr="00537AD5">
              <w:rPr>
                <w:rFonts w:eastAsiaTheme="majorEastAsia"/>
                <w:lang w:val="pt-BR"/>
              </w:rPr>
              <w:t>- Tiền cảnh</w:t>
            </w:r>
          </w:p>
        </w:tc>
        <w:tc>
          <w:tcPr>
            <w:tcW w:w="4231" w:type="dxa"/>
          </w:tcPr>
          <w:p w:rsidR="00C1086B" w:rsidRPr="00537AD5" w:rsidRDefault="00C1086B" w:rsidP="00235DBA">
            <w:pPr>
              <w:spacing w:line="360" w:lineRule="auto"/>
              <w:jc w:val="center"/>
              <w:rPr>
                <w:rFonts w:eastAsiaTheme="majorEastAsia"/>
                <w:lang w:val="pt-BR"/>
              </w:rPr>
            </w:pPr>
            <w:r w:rsidRPr="00537AD5">
              <w:rPr>
                <w:rFonts w:eastAsiaTheme="majorEastAsia"/>
                <w:lang w:val="pt-BR"/>
              </w:rPr>
              <w:t>- Ít nổi trội</w:t>
            </w:r>
          </w:p>
          <w:p w:rsidR="00C1086B" w:rsidRPr="00537AD5" w:rsidRDefault="00C1086B" w:rsidP="00235DBA">
            <w:pPr>
              <w:spacing w:line="360" w:lineRule="auto"/>
              <w:jc w:val="center"/>
              <w:rPr>
                <w:rFonts w:eastAsiaTheme="majorEastAsia"/>
                <w:lang w:val="pt-BR"/>
              </w:rPr>
            </w:pPr>
            <w:r w:rsidRPr="00537AD5">
              <w:rPr>
                <w:rFonts w:eastAsiaTheme="majorEastAsia"/>
                <w:lang w:val="pt-BR"/>
              </w:rPr>
              <w:t>- Ít được chú ý hơn</w:t>
            </w:r>
          </w:p>
          <w:p w:rsidR="00C1086B" w:rsidRPr="00537AD5" w:rsidRDefault="00C1086B" w:rsidP="00235DBA">
            <w:pPr>
              <w:spacing w:line="360" w:lineRule="auto"/>
              <w:jc w:val="center"/>
              <w:rPr>
                <w:rFonts w:eastAsiaTheme="majorEastAsia"/>
                <w:lang w:val="pt-BR"/>
              </w:rPr>
            </w:pPr>
            <w:r w:rsidRPr="00537AD5">
              <w:rPr>
                <w:rFonts w:eastAsiaTheme="majorEastAsia"/>
                <w:lang w:val="pt-BR"/>
              </w:rPr>
              <w:t>- Sau</w:t>
            </w:r>
          </w:p>
          <w:p w:rsidR="00C1086B" w:rsidRPr="00537AD5" w:rsidRDefault="00C1086B" w:rsidP="00235DBA">
            <w:pPr>
              <w:spacing w:line="360" w:lineRule="auto"/>
              <w:jc w:val="center"/>
              <w:rPr>
                <w:rFonts w:eastAsiaTheme="majorEastAsia"/>
                <w:lang w:val="pt-BR"/>
              </w:rPr>
            </w:pPr>
            <w:r w:rsidRPr="00537AD5">
              <w:rPr>
                <w:rFonts w:eastAsiaTheme="majorEastAsia"/>
                <w:lang w:val="pt-BR"/>
              </w:rPr>
              <w:t>- Xa</w:t>
            </w:r>
          </w:p>
          <w:p w:rsidR="00C1086B" w:rsidRPr="00537AD5" w:rsidRDefault="00C1086B" w:rsidP="00235DBA">
            <w:pPr>
              <w:spacing w:line="360" w:lineRule="auto"/>
              <w:jc w:val="center"/>
              <w:rPr>
                <w:rFonts w:eastAsiaTheme="majorEastAsia"/>
                <w:lang w:val="pt-BR"/>
              </w:rPr>
            </w:pPr>
            <w:r w:rsidRPr="00537AD5">
              <w:rPr>
                <w:rFonts w:eastAsiaTheme="majorEastAsia"/>
                <w:lang w:val="pt-BR"/>
              </w:rPr>
              <w:t>- Nhiều hơn</w:t>
            </w:r>
          </w:p>
          <w:p w:rsidR="00C1086B" w:rsidRPr="00537AD5" w:rsidRDefault="00C1086B" w:rsidP="00235DBA">
            <w:pPr>
              <w:spacing w:line="360" w:lineRule="auto"/>
              <w:jc w:val="center"/>
              <w:rPr>
                <w:rFonts w:eastAsiaTheme="majorEastAsia"/>
                <w:lang w:val="pt-BR"/>
              </w:rPr>
            </w:pPr>
            <w:r w:rsidRPr="00537AD5">
              <w:rPr>
                <w:rFonts w:eastAsiaTheme="majorEastAsia"/>
                <w:lang w:val="pt-BR"/>
              </w:rPr>
              <w:t>- Ít cụ thể hơn</w:t>
            </w:r>
          </w:p>
          <w:p w:rsidR="00C1086B" w:rsidRPr="00537AD5" w:rsidRDefault="00C1086B" w:rsidP="00235DBA">
            <w:pPr>
              <w:spacing w:line="360" w:lineRule="auto"/>
              <w:jc w:val="center"/>
              <w:rPr>
                <w:rFonts w:eastAsiaTheme="majorEastAsia"/>
                <w:lang w:val="pt-BR"/>
              </w:rPr>
            </w:pPr>
            <w:r w:rsidRPr="00537AD5">
              <w:rPr>
                <w:rFonts w:eastAsiaTheme="majorEastAsia"/>
                <w:lang w:val="pt-BR"/>
              </w:rPr>
              <w:t>- Khó quan sát</w:t>
            </w:r>
          </w:p>
          <w:p w:rsidR="00C1086B" w:rsidRPr="00537AD5" w:rsidRDefault="00C1086B" w:rsidP="00235DBA">
            <w:pPr>
              <w:spacing w:line="360" w:lineRule="auto"/>
              <w:jc w:val="center"/>
              <w:rPr>
                <w:rFonts w:eastAsiaTheme="majorEastAsia"/>
                <w:lang w:val="pt-BR"/>
              </w:rPr>
            </w:pPr>
            <w:r w:rsidRPr="00537AD5">
              <w:rPr>
                <w:rFonts w:eastAsiaTheme="majorEastAsia"/>
                <w:lang w:val="pt-BR"/>
              </w:rPr>
              <w:t>- Khó ghi nhớ</w:t>
            </w:r>
          </w:p>
          <w:p w:rsidR="00C1086B" w:rsidRPr="00537AD5" w:rsidRDefault="00C1086B" w:rsidP="00235DBA">
            <w:pPr>
              <w:spacing w:line="360" w:lineRule="auto"/>
              <w:jc w:val="center"/>
              <w:rPr>
                <w:rFonts w:eastAsiaTheme="majorEastAsia"/>
                <w:lang w:val="pt-BR"/>
              </w:rPr>
            </w:pPr>
            <w:r w:rsidRPr="00537AD5">
              <w:rPr>
                <w:rFonts w:eastAsiaTheme="majorEastAsia"/>
                <w:lang w:val="pt-BR"/>
              </w:rPr>
              <w:t>- Hậu cảnh</w:t>
            </w:r>
          </w:p>
        </w:tc>
      </w:tr>
      <w:tr w:rsidR="00C1086B" w:rsidRPr="00D408B5" w:rsidTr="00235DBA">
        <w:tc>
          <w:tcPr>
            <w:tcW w:w="1975" w:type="dxa"/>
            <w:vAlign w:val="center"/>
          </w:tcPr>
          <w:p w:rsidR="00C1086B" w:rsidRPr="00537AD5" w:rsidRDefault="00C1086B" w:rsidP="00235DBA">
            <w:pPr>
              <w:spacing w:line="360" w:lineRule="auto"/>
              <w:jc w:val="center"/>
              <w:rPr>
                <w:rFonts w:eastAsiaTheme="majorEastAsia"/>
                <w:lang w:val="pt-BR"/>
              </w:rPr>
            </w:pPr>
            <w:r w:rsidRPr="00537AD5">
              <w:rPr>
                <w:rFonts w:eastAsiaTheme="majorEastAsia"/>
                <w:lang w:val="pt-BR"/>
              </w:rPr>
              <w:t>Hình dáng / kích thước</w:t>
            </w:r>
          </w:p>
        </w:tc>
        <w:tc>
          <w:tcPr>
            <w:tcW w:w="2970" w:type="dxa"/>
            <w:vAlign w:val="center"/>
          </w:tcPr>
          <w:p w:rsidR="00C1086B" w:rsidRPr="00537AD5" w:rsidRDefault="00C1086B" w:rsidP="00235DBA">
            <w:pPr>
              <w:spacing w:line="360" w:lineRule="auto"/>
              <w:jc w:val="center"/>
              <w:rPr>
                <w:rFonts w:eastAsiaTheme="majorEastAsia"/>
                <w:lang w:val="pt-BR"/>
              </w:rPr>
            </w:pPr>
            <w:r w:rsidRPr="00537AD5">
              <w:rPr>
                <w:rFonts w:eastAsiaTheme="majorEastAsia"/>
                <w:lang w:val="pt-BR"/>
              </w:rPr>
              <w:t>- Nhỏ/ hẹp</w:t>
            </w:r>
          </w:p>
          <w:p w:rsidR="00C1086B" w:rsidRPr="00537AD5" w:rsidRDefault="00C1086B" w:rsidP="00235DBA">
            <w:pPr>
              <w:spacing w:line="360" w:lineRule="auto"/>
              <w:jc w:val="center"/>
              <w:rPr>
                <w:rFonts w:eastAsiaTheme="majorEastAsia"/>
                <w:lang w:val="pt-BR"/>
              </w:rPr>
            </w:pPr>
            <w:r w:rsidRPr="00537AD5">
              <w:rPr>
                <w:rFonts w:eastAsiaTheme="majorEastAsia"/>
                <w:lang w:val="pt-BR"/>
              </w:rPr>
              <w:t>- Đơn giản</w:t>
            </w:r>
          </w:p>
          <w:p w:rsidR="00C1086B" w:rsidRPr="00537AD5" w:rsidRDefault="00C1086B" w:rsidP="00235DBA">
            <w:pPr>
              <w:spacing w:line="360" w:lineRule="auto"/>
              <w:jc w:val="center"/>
              <w:rPr>
                <w:rFonts w:eastAsiaTheme="majorEastAsia"/>
                <w:lang w:val="pt-BR"/>
              </w:rPr>
            </w:pPr>
            <w:r w:rsidRPr="00537AD5">
              <w:rPr>
                <w:rFonts w:eastAsiaTheme="majorEastAsia"/>
                <w:lang w:val="pt-BR"/>
              </w:rPr>
              <w:t>- Dễ xác định</w:t>
            </w:r>
          </w:p>
        </w:tc>
        <w:tc>
          <w:tcPr>
            <w:tcW w:w="4231" w:type="dxa"/>
          </w:tcPr>
          <w:p w:rsidR="00C1086B" w:rsidRPr="00537AD5" w:rsidRDefault="00C1086B" w:rsidP="00235DBA">
            <w:pPr>
              <w:spacing w:line="360" w:lineRule="auto"/>
              <w:jc w:val="center"/>
              <w:rPr>
                <w:rFonts w:eastAsiaTheme="majorEastAsia"/>
                <w:lang w:val="pt-BR"/>
              </w:rPr>
            </w:pPr>
            <w:r w:rsidRPr="00537AD5">
              <w:rPr>
                <w:rFonts w:eastAsiaTheme="majorEastAsia"/>
                <w:lang w:val="pt-BR"/>
              </w:rPr>
              <w:t>- Lớn/ rộng</w:t>
            </w:r>
          </w:p>
          <w:p w:rsidR="00C1086B" w:rsidRPr="00537AD5" w:rsidRDefault="00C1086B" w:rsidP="00235DBA">
            <w:pPr>
              <w:spacing w:line="360" w:lineRule="auto"/>
              <w:jc w:val="center"/>
              <w:rPr>
                <w:rFonts w:eastAsiaTheme="majorEastAsia"/>
                <w:lang w:val="pt-BR"/>
              </w:rPr>
            </w:pPr>
            <w:r w:rsidRPr="00537AD5">
              <w:rPr>
                <w:rFonts w:eastAsiaTheme="majorEastAsia"/>
                <w:lang w:val="pt-BR"/>
              </w:rPr>
              <w:t>- Phức tạp</w:t>
            </w:r>
          </w:p>
          <w:p w:rsidR="00C1086B" w:rsidRPr="00537AD5" w:rsidRDefault="00C1086B" w:rsidP="00235DBA">
            <w:pPr>
              <w:spacing w:line="360" w:lineRule="auto"/>
              <w:jc w:val="center"/>
              <w:rPr>
                <w:rFonts w:eastAsiaTheme="majorEastAsia"/>
                <w:lang w:val="pt-BR"/>
              </w:rPr>
            </w:pPr>
            <w:r w:rsidRPr="00537AD5">
              <w:rPr>
                <w:rFonts w:eastAsiaTheme="majorEastAsia"/>
                <w:lang w:val="pt-BR"/>
              </w:rPr>
              <w:t>- Khó xác định</w:t>
            </w:r>
          </w:p>
        </w:tc>
      </w:tr>
      <w:tr w:rsidR="00C1086B" w:rsidRPr="00537AD5" w:rsidTr="00235DBA">
        <w:tc>
          <w:tcPr>
            <w:tcW w:w="1975" w:type="dxa"/>
            <w:vAlign w:val="center"/>
          </w:tcPr>
          <w:p w:rsidR="00C1086B" w:rsidRPr="00537AD5" w:rsidRDefault="00C1086B" w:rsidP="00235DBA">
            <w:pPr>
              <w:spacing w:line="360" w:lineRule="auto"/>
              <w:jc w:val="center"/>
              <w:rPr>
                <w:rFonts w:eastAsiaTheme="majorEastAsia"/>
                <w:lang w:val="pt-BR"/>
              </w:rPr>
            </w:pPr>
            <w:r w:rsidRPr="00537AD5">
              <w:rPr>
                <w:rFonts w:eastAsiaTheme="majorEastAsia"/>
                <w:lang w:val="pt-BR"/>
              </w:rPr>
              <w:t>Quan hệ</w:t>
            </w:r>
          </w:p>
        </w:tc>
        <w:tc>
          <w:tcPr>
            <w:tcW w:w="2970" w:type="dxa"/>
          </w:tcPr>
          <w:p w:rsidR="00C1086B" w:rsidRPr="00537AD5" w:rsidRDefault="00C1086B" w:rsidP="00235DBA">
            <w:pPr>
              <w:spacing w:line="360" w:lineRule="auto"/>
              <w:jc w:val="center"/>
              <w:rPr>
                <w:rFonts w:eastAsiaTheme="majorEastAsia"/>
                <w:lang w:val="pt-BR"/>
              </w:rPr>
            </w:pPr>
            <w:r w:rsidRPr="00537AD5">
              <w:rPr>
                <w:rFonts w:eastAsiaTheme="majorEastAsia"/>
                <w:lang w:val="pt-BR"/>
              </w:rPr>
              <w:t>Lệ thuộc</w:t>
            </w:r>
          </w:p>
        </w:tc>
        <w:tc>
          <w:tcPr>
            <w:tcW w:w="4231" w:type="dxa"/>
          </w:tcPr>
          <w:p w:rsidR="00C1086B" w:rsidRPr="00537AD5" w:rsidRDefault="00C1086B" w:rsidP="00235DBA">
            <w:pPr>
              <w:spacing w:line="360" w:lineRule="auto"/>
              <w:jc w:val="center"/>
              <w:rPr>
                <w:rFonts w:eastAsiaTheme="majorEastAsia"/>
                <w:lang w:val="pt-BR"/>
              </w:rPr>
            </w:pPr>
            <w:r w:rsidRPr="00537AD5">
              <w:rPr>
                <w:rFonts w:eastAsiaTheme="majorEastAsia"/>
                <w:lang w:val="pt-BR"/>
              </w:rPr>
              <w:t>Độc lập</w:t>
            </w:r>
          </w:p>
        </w:tc>
      </w:tr>
      <w:tr w:rsidR="00C1086B" w:rsidRPr="00537AD5" w:rsidTr="00235DBA">
        <w:tc>
          <w:tcPr>
            <w:tcW w:w="1975" w:type="dxa"/>
            <w:vAlign w:val="center"/>
          </w:tcPr>
          <w:p w:rsidR="00C1086B" w:rsidRPr="00537AD5" w:rsidRDefault="00C1086B" w:rsidP="00235DBA">
            <w:pPr>
              <w:spacing w:line="360" w:lineRule="auto"/>
              <w:jc w:val="center"/>
              <w:rPr>
                <w:rFonts w:eastAsiaTheme="majorEastAsia"/>
                <w:lang w:val="pt-BR"/>
              </w:rPr>
            </w:pPr>
            <w:r w:rsidRPr="00537AD5">
              <w:rPr>
                <w:rFonts w:eastAsiaTheme="majorEastAsia"/>
                <w:lang w:val="pt-BR"/>
              </w:rPr>
              <w:t>Chuyển động</w:t>
            </w:r>
          </w:p>
        </w:tc>
        <w:tc>
          <w:tcPr>
            <w:tcW w:w="2970" w:type="dxa"/>
          </w:tcPr>
          <w:p w:rsidR="00C1086B" w:rsidRPr="00537AD5" w:rsidRDefault="00C1086B" w:rsidP="00235DBA">
            <w:pPr>
              <w:spacing w:line="360" w:lineRule="auto"/>
              <w:jc w:val="center"/>
              <w:rPr>
                <w:rFonts w:eastAsiaTheme="majorEastAsia"/>
                <w:lang w:val="pt-BR"/>
              </w:rPr>
            </w:pPr>
            <w:r w:rsidRPr="00537AD5">
              <w:rPr>
                <w:rFonts w:eastAsiaTheme="majorEastAsia"/>
                <w:lang w:val="pt-BR"/>
              </w:rPr>
              <w:t>Có thể di chuyển (động)</w:t>
            </w:r>
          </w:p>
        </w:tc>
        <w:tc>
          <w:tcPr>
            <w:tcW w:w="4231" w:type="dxa"/>
          </w:tcPr>
          <w:p w:rsidR="00C1086B" w:rsidRPr="00537AD5" w:rsidRDefault="00C1086B" w:rsidP="00235DBA">
            <w:pPr>
              <w:spacing w:line="360" w:lineRule="auto"/>
              <w:jc w:val="center"/>
              <w:rPr>
                <w:rFonts w:eastAsiaTheme="majorEastAsia"/>
                <w:lang w:val="pt-BR"/>
              </w:rPr>
            </w:pPr>
            <w:r w:rsidRPr="00537AD5">
              <w:rPr>
                <w:rFonts w:eastAsiaTheme="majorEastAsia"/>
                <w:lang w:val="pt-BR"/>
              </w:rPr>
              <w:t>Thường cố định (tĩnh)</w:t>
            </w:r>
          </w:p>
        </w:tc>
      </w:tr>
    </w:tbl>
    <w:p w:rsidR="00C1086B" w:rsidRPr="00537AD5" w:rsidRDefault="00C1086B" w:rsidP="00C1086B">
      <w:pPr>
        <w:spacing w:before="120" w:after="120" w:line="360" w:lineRule="auto"/>
        <w:ind w:firstLine="567"/>
        <w:jc w:val="both"/>
        <w:rPr>
          <w:rFonts w:eastAsiaTheme="majorEastAsia"/>
          <w:lang w:val="pt-BR"/>
        </w:rPr>
      </w:pPr>
      <w:r w:rsidRPr="00537AD5">
        <w:rPr>
          <w:rFonts w:eastAsiaTheme="majorEastAsia"/>
          <w:lang w:val="pt-BR"/>
        </w:rPr>
        <w:t xml:space="preserve">    Các đặc điểm khác nhau của HVN, tức những cách thức tri nhận khác nhau, sẽ chi phối cách lựa chọn các kết cấu ngôn ngữ. Tuy nhiên, đây là vấn đề phức tạp, vì còn liên quan đến khung quy chiếu, điểm nhìn, cách thức diễn giải và cả vấn đề học thuật: việc nhìn nhận vai trò của động từ, giới từ trong quan hệ với với HVN nữa. </w:t>
      </w:r>
    </w:p>
    <w:p w:rsidR="00C1086B" w:rsidRPr="00537AD5" w:rsidRDefault="00C1086B" w:rsidP="00C1086B">
      <w:pPr>
        <w:spacing w:before="120" w:after="120" w:line="360" w:lineRule="auto"/>
        <w:ind w:firstLine="567"/>
        <w:jc w:val="both"/>
        <w:rPr>
          <w:rFonts w:eastAsiaTheme="majorEastAsia"/>
          <w:lang w:val="pt-BR"/>
        </w:rPr>
      </w:pPr>
      <w:r w:rsidRPr="00537AD5">
        <w:rPr>
          <w:rFonts w:eastAsiaTheme="majorEastAsia"/>
          <w:lang w:val="pt-BR"/>
        </w:rPr>
        <w:t xml:space="preserve">Có thể thấy, ở những phát ngôn đơn giản, hình thường trùng với chủ ngữ, nền trùng với vị ngữ: Bức tranh (hình) treo trên tường (nền), Quả bóng (hình) lăn trong sân (nền), nhưng Ông lão (chủ thể tác động) thả cá (hình) xuống sông (nền). </w:t>
      </w:r>
    </w:p>
    <w:p w:rsidR="00C1086B" w:rsidRPr="00537AD5" w:rsidRDefault="00C1086B" w:rsidP="00C1086B">
      <w:pPr>
        <w:spacing w:before="120" w:after="120" w:line="360" w:lineRule="auto"/>
        <w:ind w:firstLine="567"/>
        <w:jc w:val="both"/>
        <w:rPr>
          <w:rFonts w:eastAsiaTheme="majorEastAsia"/>
          <w:lang w:val="pt-BR"/>
        </w:rPr>
      </w:pPr>
      <w:r w:rsidRPr="00537AD5">
        <w:rPr>
          <w:rFonts w:eastAsiaTheme="majorEastAsia"/>
          <w:lang w:val="pt-BR"/>
        </w:rPr>
        <w:t xml:space="preserve">HVN còn được đặt vào những khung quy chiếu lớn hơn để miêu tả các cách định vị không gian. Theo Levinson S. C. (2004), vai trò của HVN trong các khung  quy chiếu nội tại (intrinsic), quy chiếu tương đối (relative) và quy chiếu tuyệt đối (absolute) là rất khác nhau và HVN có thể được mô tả chi tiết hơn. Ví dụ: Chiếc </w:t>
      </w:r>
      <w:r w:rsidRPr="00537AD5">
        <w:rPr>
          <w:rFonts w:eastAsiaTheme="majorEastAsia"/>
          <w:lang w:val="pt-BR"/>
        </w:rPr>
        <w:lastRenderedPageBreak/>
        <w:t>thuyền ở bên cạnh chân cầu, phía tả ngạn thì chiếc thuyền là hình, chân cầu là nền chính ,tả ngạn là nền phụ, còn ở bên cạnh chân cầu + phía tả ngạn là vùng quy chiếu, nền chính + nền phụ làm thành một khung quy chiếu, tất cả nằm trong một kịch cảnh không gian (space scene).</w:t>
      </w:r>
    </w:p>
    <w:p w:rsidR="00C1086B" w:rsidRPr="00537AD5" w:rsidRDefault="00C1086B" w:rsidP="00C1086B">
      <w:pPr>
        <w:spacing w:before="120" w:after="120" w:line="360" w:lineRule="auto"/>
        <w:ind w:firstLine="567"/>
        <w:jc w:val="both"/>
        <w:rPr>
          <w:rFonts w:eastAsiaTheme="majorEastAsia"/>
          <w:lang w:val="pt-BR"/>
        </w:rPr>
      </w:pPr>
      <w:r w:rsidRPr="00537AD5">
        <w:rPr>
          <w:rFonts w:eastAsiaTheme="majorEastAsia"/>
          <w:lang w:val="pt-BR"/>
        </w:rPr>
        <w:t>Đặc biệt, với tư cách là những thành tố vốn được đúc kết từ kinh nghiệm không gian vật lý, cơ sở để ý niệm hóa không gian và cả phi không gian, HVN còn được dùng để mô tả những sự tình chuyển động. Trong đó hình, tương ứng với yếu tố trọng tâm chuyển động theo quỹ đạo, được gọi là vật dịch chuyển (trajector) còn yếu tố môi trường có tính chất hậu cảnh là mốc định vị (landmark). Tùy thuộc vào mối quan hệ không gian giữa vật dịch chuyển và mốc định vị, ta có những quỹ đạo ngữ nghĩa rất đa dạng. Bộ máy khái niệm này đã được vận dụng để mô tả cơ cấu ngữ nghĩa của giới từ tiếng Anh và đã đạt được những thành tựu rất lớn về mặt lý thuyết cũng như những ứng dụng trong giảng dạy ngôn ngữ. Ngoài ra, HVN còn được biết đến trong nghiên cứu ngôn ngữ văn chương. Tùy theo thể loại diễn ngôn mà đặc điểm của HVN, mối quan hệ giữa chúng, cách cảm thụ của người đọc là rất khác nhau. HVN cùng với các bình diện chỉ xuất, lược đồ hình ảnh,… là những thành tố quan yếu trong thi pháp học tri nhận [6].</w:t>
      </w:r>
    </w:p>
    <w:p w:rsidR="00C1086B" w:rsidRPr="00537AD5" w:rsidRDefault="00C1086B" w:rsidP="00C1086B">
      <w:pPr>
        <w:spacing w:line="360" w:lineRule="auto"/>
        <w:ind w:firstLine="567"/>
        <w:jc w:val="right"/>
        <w:rPr>
          <w:rFonts w:eastAsiaTheme="majorEastAsia"/>
          <w:b/>
          <w:bCs/>
          <w:sz w:val="20"/>
          <w:szCs w:val="20"/>
          <w:lang w:val="pt-BR"/>
        </w:rPr>
      </w:pPr>
      <w:r w:rsidRPr="00537AD5">
        <w:rPr>
          <w:rFonts w:eastAsiaTheme="majorEastAsia"/>
          <w:b/>
          <w:bCs/>
          <w:sz w:val="20"/>
          <w:szCs w:val="20"/>
          <w:lang w:val="pt-BR"/>
        </w:rPr>
        <w:t>TRỊNH SÂM</w:t>
      </w:r>
    </w:p>
    <w:p w:rsidR="00C1086B" w:rsidRPr="00537AD5" w:rsidRDefault="00C1086B" w:rsidP="00C1086B">
      <w:pPr>
        <w:spacing w:line="360" w:lineRule="auto"/>
        <w:jc w:val="both"/>
        <w:rPr>
          <w:rFonts w:eastAsiaTheme="majorEastAsia"/>
          <w:sz w:val="24"/>
          <w:szCs w:val="24"/>
          <w:lang w:val="pt-BR"/>
        </w:rPr>
      </w:pPr>
      <w:r w:rsidRPr="00537AD5">
        <w:rPr>
          <w:rFonts w:eastAsiaTheme="majorEastAsia"/>
          <w:b/>
          <w:bCs/>
          <w:sz w:val="24"/>
          <w:szCs w:val="24"/>
          <w:lang w:val="pt-BR"/>
        </w:rPr>
        <w:t xml:space="preserve">Tài liSÂMxuất, lược </w:t>
      </w:r>
    </w:p>
    <w:p w:rsidR="00C1086B" w:rsidRPr="00537AD5" w:rsidRDefault="00C1086B" w:rsidP="00C1086B">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vi-VN"/>
        </w:rPr>
        <w:t xml:space="preserve">1. </w:t>
      </w:r>
      <w:r w:rsidRPr="00537AD5">
        <w:rPr>
          <w:rFonts w:ascii="Times New Roman" w:eastAsiaTheme="majorEastAsia" w:hAnsi="Times New Roman"/>
          <w:sz w:val="24"/>
          <w:szCs w:val="24"/>
          <w:lang w:val="pt-BR"/>
        </w:rPr>
        <w:t xml:space="preserve">Lý Toàn Thắng, </w:t>
      </w:r>
      <w:r w:rsidRPr="00537AD5">
        <w:rPr>
          <w:rFonts w:ascii="Times New Roman" w:eastAsiaTheme="majorEastAsia" w:hAnsi="Times New Roman"/>
          <w:i/>
          <w:sz w:val="24"/>
          <w:szCs w:val="24"/>
          <w:lang w:val="pt-BR"/>
        </w:rPr>
        <w:t>Ngôn ngữ học tri nhận, từ lý thuyết đại cương đến thực tiễn tiếng Việt</w:t>
      </w:r>
      <w:r w:rsidRPr="00537AD5">
        <w:rPr>
          <w:rFonts w:ascii="Times New Roman" w:eastAsiaTheme="majorEastAsia" w:hAnsi="Times New Roman"/>
          <w:sz w:val="24"/>
          <w:szCs w:val="24"/>
          <w:lang w:val="pt-BR"/>
        </w:rPr>
        <w:t>, Nxb Phương Đông, Hà Nội, 2009.</w:t>
      </w:r>
    </w:p>
    <w:p w:rsidR="00C1086B" w:rsidRPr="00537AD5" w:rsidRDefault="00C1086B" w:rsidP="00C1086B">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vi-VN"/>
        </w:rPr>
        <w:t xml:space="preserve">2. </w:t>
      </w:r>
      <w:r w:rsidRPr="00537AD5">
        <w:rPr>
          <w:rFonts w:ascii="Times New Roman" w:eastAsiaTheme="majorEastAsia" w:hAnsi="Times New Roman"/>
          <w:sz w:val="24"/>
          <w:szCs w:val="24"/>
          <w:lang w:val="pt-BR"/>
        </w:rPr>
        <w:t>Trịnh Sâm, “Hình thức và nội dung nhìn từ tri nhận luận”</w:t>
      </w:r>
      <w:r w:rsidRPr="00537AD5">
        <w:rPr>
          <w:rFonts w:ascii="Times New Roman" w:eastAsiaTheme="majorEastAsia" w:hAnsi="Times New Roman"/>
          <w:i/>
          <w:sz w:val="24"/>
          <w:szCs w:val="24"/>
          <w:lang w:val="pt-BR"/>
        </w:rPr>
        <w:t>, Ngôn ngữ</w:t>
      </w:r>
      <w:r w:rsidRPr="00537AD5">
        <w:rPr>
          <w:rFonts w:ascii="Times New Roman" w:eastAsiaTheme="majorEastAsia" w:hAnsi="Times New Roman"/>
          <w:sz w:val="24"/>
          <w:szCs w:val="24"/>
          <w:lang w:val="pt-BR"/>
        </w:rPr>
        <w:t>, số 7, 2015</w:t>
      </w:r>
      <w:bookmarkStart w:id="0" w:name="_Hlk66470118"/>
      <w:r w:rsidRPr="00537AD5">
        <w:rPr>
          <w:rFonts w:ascii="Times New Roman" w:eastAsiaTheme="majorEastAsia" w:hAnsi="Times New Roman"/>
          <w:sz w:val="24"/>
          <w:szCs w:val="24"/>
          <w:lang w:val="pt-BR"/>
        </w:rPr>
        <w:t>.</w:t>
      </w:r>
    </w:p>
    <w:p w:rsidR="00C1086B" w:rsidRPr="00537AD5" w:rsidRDefault="00C1086B" w:rsidP="00C1086B">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vi-VN"/>
        </w:rPr>
        <w:t xml:space="preserve">3. </w:t>
      </w:r>
      <w:r w:rsidRPr="00537AD5">
        <w:rPr>
          <w:rFonts w:ascii="Times New Roman" w:eastAsiaTheme="majorEastAsia" w:hAnsi="Times New Roman"/>
          <w:sz w:val="24"/>
          <w:szCs w:val="24"/>
          <w:lang w:val="pt-BR"/>
        </w:rPr>
        <w:t>Talmy L., “Figure and ground in Complex sentences”</w:t>
      </w:r>
      <w:r w:rsidRPr="00537AD5">
        <w:rPr>
          <w:rFonts w:ascii="Times New Roman" w:eastAsiaTheme="majorEastAsia" w:hAnsi="Times New Roman"/>
          <w:i/>
          <w:sz w:val="24"/>
          <w:szCs w:val="24"/>
          <w:lang w:val="pt-BR"/>
        </w:rPr>
        <w:t xml:space="preserve">, In Universals of human language vol 4: syntax,  </w:t>
      </w:r>
      <w:r w:rsidRPr="00537AD5">
        <w:rPr>
          <w:rFonts w:ascii="Times New Roman" w:eastAsiaTheme="majorEastAsia" w:hAnsi="Times New Roman"/>
          <w:sz w:val="24"/>
          <w:szCs w:val="24"/>
          <w:lang w:val="pt-BR"/>
        </w:rPr>
        <w:t>J. H. Greenberg( Ed), Cambridge University press, Cambrige, 1978.</w:t>
      </w:r>
    </w:p>
    <w:p w:rsidR="00C1086B" w:rsidRPr="00537AD5" w:rsidRDefault="00C1086B" w:rsidP="00C1086B">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vi-VN"/>
        </w:rPr>
        <w:t xml:space="preserve">4. </w:t>
      </w:r>
      <w:r w:rsidRPr="00537AD5">
        <w:rPr>
          <w:rFonts w:ascii="Times New Roman" w:eastAsiaTheme="majorEastAsia" w:hAnsi="Times New Roman"/>
          <w:sz w:val="24"/>
          <w:szCs w:val="24"/>
          <w:lang w:val="pt-BR"/>
        </w:rPr>
        <w:t xml:space="preserve">Langacker R. W., </w:t>
      </w:r>
      <w:r w:rsidRPr="00537AD5">
        <w:rPr>
          <w:rFonts w:ascii="Times New Roman" w:eastAsiaTheme="majorEastAsia" w:hAnsi="Times New Roman"/>
          <w:i/>
          <w:sz w:val="24"/>
          <w:szCs w:val="24"/>
          <w:lang w:val="pt-BR"/>
        </w:rPr>
        <w:t xml:space="preserve">Foundations of cognitive grammar volume 1, </w:t>
      </w:r>
      <w:r w:rsidRPr="00537AD5">
        <w:rPr>
          <w:rFonts w:ascii="Times New Roman" w:eastAsiaTheme="majorEastAsia" w:hAnsi="Times New Roman"/>
          <w:sz w:val="24"/>
          <w:szCs w:val="24"/>
          <w:lang w:val="pt-BR"/>
        </w:rPr>
        <w:t>Theoretical prerequisites, Stanford university press, Stanford, 1987.</w:t>
      </w:r>
    </w:p>
    <w:p w:rsidR="00C1086B" w:rsidRPr="00537AD5" w:rsidRDefault="00C1086B" w:rsidP="00C1086B">
      <w:pPr>
        <w:pStyle w:val="FootnoteText"/>
        <w:spacing w:before="0" w:line="360" w:lineRule="auto"/>
        <w:rPr>
          <w:rFonts w:ascii="Times New Roman" w:eastAsiaTheme="majorEastAsia" w:hAnsi="Times New Roman"/>
          <w:sz w:val="24"/>
          <w:szCs w:val="24"/>
          <w:lang w:val="pt-BR"/>
        </w:rPr>
      </w:pPr>
      <w:bookmarkStart w:id="1" w:name="_Hlk66529733"/>
      <w:bookmarkEnd w:id="0"/>
      <w:r w:rsidRPr="00537AD5">
        <w:rPr>
          <w:rFonts w:ascii="Times New Roman" w:eastAsiaTheme="majorEastAsia" w:hAnsi="Times New Roman"/>
          <w:sz w:val="24"/>
          <w:szCs w:val="24"/>
          <w:lang w:val="vi-VN"/>
        </w:rPr>
        <w:t xml:space="preserve">5. </w:t>
      </w:r>
      <w:r w:rsidRPr="00537AD5">
        <w:rPr>
          <w:rFonts w:ascii="Times New Roman" w:eastAsiaTheme="majorEastAsia" w:hAnsi="Times New Roman"/>
          <w:sz w:val="24"/>
          <w:szCs w:val="24"/>
          <w:lang w:val="pt-BR"/>
        </w:rPr>
        <w:t>Langacker R. W</w:t>
      </w:r>
      <w:bookmarkEnd w:id="1"/>
      <w:r w:rsidRPr="00537AD5">
        <w:rPr>
          <w:rFonts w:ascii="Times New Roman" w:eastAsiaTheme="majorEastAsia" w:hAnsi="Times New Roman"/>
          <w:sz w:val="24"/>
          <w:szCs w:val="24"/>
          <w:lang w:val="pt-BR"/>
        </w:rPr>
        <w:t>., </w:t>
      </w:r>
      <w:r w:rsidRPr="00537AD5">
        <w:rPr>
          <w:rFonts w:ascii="Times New Roman" w:eastAsiaTheme="majorEastAsia" w:hAnsi="Times New Roman"/>
          <w:i/>
          <w:sz w:val="24"/>
          <w:szCs w:val="24"/>
          <w:lang w:val="pt-BR"/>
        </w:rPr>
        <w:t xml:space="preserve">Concept, Image and symbol: The cognitive basis of grammar, </w:t>
      </w:r>
      <w:r w:rsidRPr="00537AD5">
        <w:rPr>
          <w:rFonts w:ascii="Times New Roman" w:eastAsiaTheme="majorEastAsia" w:hAnsi="Times New Roman"/>
          <w:sz w:val="24"/>
          <w:szCs w:val="24"/>
          <w:lang w:val="pt-BR"/>
        </w:rPr>
        <w:t>Cognitive linguistic research 1</w:t>
      </w:r>
      <w:r w:rsidRPr="00537AD5">
        <w:rPr>
          <w:rFonts w:ascii="Times New Roman" w:eastAsiaTheme="majorEastAsia" w:hAnsi="Times New Roman"/>
          <w:i/>
          <w:sz w:val="24"/>
          <w:szCs w:val="24"/>
          <w:lang w:val="pt-BR"/>
        </w:rPr>
        <w:t xml:space="preserve">, </w:t>
      </w:r>
      <w:r w:rsidRPr="00537AD5">
        <w:rPr>
          <w:rFonts w:ascii="Times New Roman" w:eastAsiaTheme="majorEastAsia" w:hAnsi="Times New Roman"/>
          <w:sz w:val="24"/>
          <w:szCs w:val="24"/>
          <w:lang w:val="pt-BR"/>
        </w:rPr>
        <w:t>Mouton de Gruyter, Berlin/ Newyork, 1990.</w:t>
      </w:r>
    </w:p>
    <w:p w:rsidR="00C1086B" w:rsidRPr="00537AD5" w:rsidRDefault="00C1086B" w:rsidP="00C1086B">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vi-VN"/>
        </w:rPr>
        <w:t xml:space="preserve">6. </w:t>
      </w:r>
      <w:r w:rsidRPr="00537AD5">
        <w:rPr>
          <w:rFonts w:ascii="Times New Roman" w:eastAsiaTheme="majorEastAsia" w:hAnsi="Times New Roman"/>
          <w:sz w:val="24"/>
          <w:szCs w:val="24"/>
          <w:lang w:val="pt-BR"/>
        </w:rPr>
        <w:t xml:space="preserve">Stockwell P., </w:t>
      </w:r>
      <w:r w:rsidRPr="00537AD5">
        <w:rPr>
          <w:rFonts w:ascii="Times New Roman" w:eastAsiaTheme="majorEastAsia" w:hAnsi="Times New Roman"/>
          <w:i/>
          <w:sz w:val="24"/>
          <w:szCs w:val="24"/>
          <w:lang w:val="pt-BR"/>
        </w:rPr>
        <w:t xml:space="preserve">Cognitive poetics: An introduction, </w:t>
      </w:r>
      <w:r w:rsidRPr="00537AD5">
        <w:rPr>
          <w:rFonts w:ascii="Times New Roman" w:eastAsiaTheme="majorEastAsia" w:hAnsi="Times New Roman"/>
          <w:sz w:val="24"/>
          <w:szCs w:val="24"/>
          <w:lang w:val="pt-BR"/>
        </w:rPr>
        <w:t>Routlege, London, 2002.</w:t>
      </w:r>
    </w:p>
    <w:p w:rsidR="00C1086B" w:rsidRPr="00537AD5" w:rsidRDefault="00C1086B" w:rsidP="00C1086B">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vi-VN"/>
        </w:rPr>
        <w:lastRenderedPageBreak/>
        <w:t xml:space="preserve">7. </w:t>
      </w:r>
      <w:r w:rsidRPr="00537AD5">
        <w:rPr>
          <w:rFonts w:ascii="Times New Roman" w:eastAsiaTheme="majorEastAsia" w:hAnsi="Times New Roman"/>
          <w:sz w:val="24"/>
          <w:szCs w:val="24"/>
          <w:lang w:val="pt-BR"/>
        </w:rPr>
        <w:t xml:space="preserve"> Levinson S. C., </w:t>
      </w:r>
      <w:r w:rsidRPr="00537AD5">
        <w:rPr>
          <w:rFonts w:ascii="Times New Roman" w:eastAsiaTheme="majorEastAsia" w:hAnsi="Times New Roman"/>
          <w:i/>
          <w:sz w:val="24"/>
          <w:szCs w:val="24"/>
          <w:lang w:val="pt-BR"/>
        </w:rPr>
        <w:t>Space in language and cognition: Exploration in cognitive diverity</w:t>
      </w:r>
      <w:bookmarkStart w:id="2" w:name="_Hlk66530203"/>
      <w:r w:rsidRPr="00537AD5">
        <w:rPr>
          <w:rFonts w:ascii="Times New Roman" w:eastAsiaTheme="majorEastAsia" w:hAnsi="Times New Roman"/>
          <w:i/>
          <w:sz w:val="24"/>
          <w:szCs w:val="24"/>
          <w:lang w:val="pt-BR"/>
        </w:rPr>
        <w:t xml:space="preserve">, </w:t>
      </w:r>
      <w:r w:rsidRPr="00537AD5">
        <w:rPr>
          <w:rFonts w:ascii="Times New Roman" w:eastAsiaTheme="majorEastAsia" w:hAnsi="Times New Roman"/>
          <w:sz w:val="24"/>
          <w:szCs w:val="24"/>
          <w:lang w:val="pt-BR"/>
        </w:rPr>
        <w:t>Cambridge University press, Cambrige, 2004</w:t>
      </w:r>
      <w:bookmarkEnd w:id="2"/>
      <w:r w:rsidRPr="00537AD5">
        <w:rPr>
          <w:rFonts w:ascii="Times New Roman" w:eastAsiaTheme="majorEastAsia" w:hAnsi="Times New Roman"/>
          <w:sz w:val="24"/>
          <w:szCs w:val="24"/>
          <w:lang w:val="pt-BR"/>
        </w:rPr>
        <w:t>.</w:t>
      </w:r>
    </w:p>
    <w:p w:rsidR="00C1086B" w:rsidRPr="00537AD5" w:rsidRDefault="00C1086B" w:rsidP="00C1086B">
      <w:pPr>
        <w:pStyle w:val="FootnoteText"/>
        <w:spacing w:before="0" w:line="360" w:lineRule="auto"/>
        <w:rPr>
          <w:rFonts w:ascii="Times New Roman" w:eastAsiaTheme="majorEastAsia" w:hAnsi="Times New Roman"/>
          <w:sz w:val="24"/>
          <w:szCs w:val="24"/>
          <w:lang w:val="pt-BR"/>
        </w:rPr>
      </w:pPr>
      <w:r w:rsidRPr="00537AD5">
        <w:rPr>
          <w:rFonts w:ascii="Times New Roman" w:eastAsiaTheme="majorEastAsia" w:hAnsi="Times New Roman"/>
          <w:sz w:val="24"/>
          <w:szCs w:val="24"/>
          <w:lang w:val="vi-VN"/>
        </w:rPr>
        <w:t xml:space="preserve">8. </w:t>
      </w:r>
      <w:r w:rsidRPr="00537AD5">
        <w:rPr>
          <w:rFonts w:ascii="Times New Roman" w:eastAsiaTheme="majorEastAsia" w:hAnsi="Times New Roman"/>
          <w:sz w:val="24"/>
          <w:szCs w:val="24"/>
          <w:lang w:val="pt-BR"/>
        </w:rPr>
        <w:t xml:space="preserve">Evans V., </w:t>
      </w:r>
      <w:r w:rsidRPr="00537AD5">
        <w:rPr>
          <w:rFonts w:ascii="Times New Roman" w:eastAsiaTheme="majorEastAsia" w:hAnsi="Times New Roman"/>
          <w:i/>
          <w:sz w:val="24"/>
          <w:szCs w:val="24"/>
          <w:lang w:val="pt-BR"/>
        </w:rPr>
        <w:t>Cognitve linguistics</w:t>
      </w:r>
      <w:r w:rsidRPr="00537AD5">
        <w:rPr>
          <w:rFonts w:ascii="Times New Roman" w:eastAsiaTheme="majorEastAsia" w:hAnsi="Times New Roman"/>
          <w:sz w:val="24"/>
          <w:szCs w:val="24"/>
          <w:lang w:val="pt-BR"/>
        </w:rPr>
        <w:t xml:space="preserve">, A complete guide, second edition, chapter 3, Edinbergh </w:t>
      </w:r>
      <w:bookmarkStart w:id="3" w:name="_Hlk66086449"/>
      <w:r w:rsidRPr="00537AD5">
        <w:rPr>
          <w:rFonts w:ascii="Times New Roman" w:eastAsiaTheme="majorEastAsia" w:hAnsi="Times New Roman"/>
          <w:sz w:val="24"/>
          <w:szCs w:val="24"/>
          <w:lang w:val="pt-BR"/>
        </w:rPr>
        <w:t xml:space="preserve">university press, UK, </w:t>
      </w:r>
      <w:bookmarkEnd w:id="3"/>
      <w:r w:rsidRPr="00537AD5">
        <w:rPr>
          <w:rFonts w:ascii="Times New Roman" w:eastAsiaTheme="majorEastAsia" w:hAnsi="Times New Roman"/>
          <w:sz w:val="24"/>
          <w:szCs w:val="24"/>
          <w:lang w:val="pt-BR"/>
        </w:rPr>
        <w:t>2019.</w:t>
      </w:r>
    </w:p>
    <w:p w:rsidR="00C1086B" w:rsidRPr="00537AD5" w:rsidRDefault="00C1086B" w:rsidP="00C1086B">
      <w:pPr>
        <w:pStyle w:val="FootnoteText"/>
        <w:spacing w:before="0" w:line="360" w:lineRule="auto"/>
        <w:rPr>
          <w:rFonts w:ascii="Times New Roman" w:eastAsiaTheme="majorEastAsia" w:hAnsi="Times New Roman"/>
        </w:rPr>
      </w:pPr>
      <w:r w:rsidRPr="00537AD5">
        <w:rPr>
          <w:rFonts w:ascii="Times New Roman" w:eastAsiaTheme="majorEastAsia" w:hAnsi="Times New Roman"/>
          <w:sz w:val="24"/>
          <w:szCs w:val="24"/>
          <w:lang w:val="vi-VN"/>
        </w:rPr>
        <w:t xml:space="preserve">9. </w:t>
      </w:r>
      <w:r w:rsidRPr="00537AD5">
        <w:rPr>
          <w:rFonts w:ascii="Times New Roman" w:eastAsiaTheme="majorEastAsia" w:hAnsi="Times New Roman"/>
          <w:sz w:val="24"/>
          <w:szCs w:val="24"/>
          <w:lang w:val="pt-BR"/>
        </w:rPr>
        <w:t xml:space="preserve">Margaret E. W., Geoffrey S. N., </w:t>
      </w:r>
      <w:r w:rsidRPr="00537AD5">
        <w:rPr>
          <w:rFonts w:ascii="Times New Roman" w:eastAsiaTheme="majorEastAsia" w:hAnsi="Times New Roman"/>
          <w:i/>
          <w:sz w:val="24"/>
          <w:szCs w:val="24"/>
          <w:lang w:val="pt-BR"/>
        </w:rPr>
        <w:t>Cognitive linguistics for linguists</w:t>
      </w:r>
      <w:r w:rsidRPr="00537AD5">
        <w:rPr>
          <w:rFonts w:ascii="Times New Roman" w:eastAsiaTheme="majorEastAsia" w:hAnsi="Times New Roman"/>
          <w:sz w:val="24"/>
          <w:szCs w:val="24"/>
          <w:lang w:val="pt-BR"/>
        </w:rPr>
        <w:t>, Springer, USA, 2020.</w:t>
      </w:r>
    </w:p>
    <w:p w:rsidR="00C1086B" w:rsidRPr="00537AD5" w:rsidRDefault="00C1086B" w:rsidP="00C1086B">
      <w:pPr>
        <w:rPr>
          <w:rFonts w:eastAsiaTheme="majorEastAsia"/>
          <w:b/>
          <w:iCs/>
          <w:lang w:eastAsia="zh-TW"/>
        </w:rPr>
      </w:pPr>
    </w:p>
    <w:p w:rsidR="0074324B" w:rsidRDefault="00C1086B">
      <w:bookmarkStart w:id="4" w:name="_GoBack"/>
      <w:bookmarkEnd w:id="4"/>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64D"/>
    <w:rsid w:val="005A6D57"/>
    <w:rsid w:val="007D3409"/>
    <w:rsid w:val="008E364D"/>
    <w:rsid w:val="00C02CDB"/>
    <w:rsid w:val="00C1086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7CDA2-CC7E-4E07-96B1-8412E422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86B"/>
    <w:pPr>
      <w:spacing w:after="0" w:line="240" w:lineRule="auto"/>
    </w:pPr>
    <w:rPr>
      <w:rFonts w:ascii="Times New Roman" w:eastAsia="Times New Roman" w:hAnsi="Times New Roman" w:cs="Times New Roman"/>
      <w:sz w:val="28"/>
      <w:szCs w:val="28"/>
      <w:lang w:val="en-US"/>
    </w:rPr>
  </w:style>
  <w:style w:type="paragraph" w:styleId="Heading1">
    <w:name w:val="heading 1"/>
    <w:aliases w:val="Heading 1 Char Char Char,Heading 1 Char Char Char Char,Heading 1 Char Char Char Char Char,Heading 1 Char Char Char Char Char Char Char Char Char,Heading 1 Char Char Char Char Char Char Char Char Char Char Char,Heading 1 Char Char"/>
    <w:basedOn w:val="Normal"/>
    <w:next w:val="Normal"/>
    <w:link w:val="Heading1Char"/>
    <w:qFormat/>
    <w:rsid w:val="00C1086B"/>
    <w:pPr>
      <w:keepNext/>
      <w:keepLines/>
      <w:spacing w:before="480"/>
      <w:outlineLvl w:val="0"/>
    </w:pPr>
    <w:rPr>
      <w:rFonts w:asciiTheme="majorHAnsi" w:eastAsiaTheme="majorEastAsia" w:hAnsiTheme="majorHAnsi" w:cstheme="majorBidi"/>
      <w:b/>
      <w:b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2,Heading 1 Char Char Char Char Char2,Heading 1 Char Char Char Char Char Char1,Heading 1 Char Char Char Char Char Char Char Char Char Char1,Heading 1 Char Char Char1"/>
    <w:basedOn w:val="DefaultParagraphFont"/>
    <w:link w:val="Heading1"/>
    <w:qFormat/>
    <w:rsid w:val="00C1086B"/>
    <w:rPr>
      <w:rFonts w:asciiTheme="majorHAnsi" w:eastAsiaTheme="majorEastAsia" w:hAnsiTheme="majorHAnsi" w:cstheme="majorBidi"/>
      <w:b/>
      <w:bCs/>
      <w:color w:val="2E74B5" w:themeColor="accent1" w:themeShade="BF"/>
      <w:sz w:val="28"/>
      <w:szCs w:val="28"/>
      <w:lang w:val="en-US"/>
    </w:rPr>
  </w:style>
  <w:style w:type="paragraph" w:styleId="FootnoteText">
    <w:name w:val="footnote text"/>
    <w:aliases w:val="Note de bas de page1,Note de bas de page1 Char Char, Char5, Char8, Char,Char,Chu thich,Char5,Char8,Footnote Text Char Char Char Char Char,Footnote Text Char Char Char Char Char Char Ch,Footnote Text Char Char Char Char Char Char Ch Char,fn"/>
    <w:basedOn w:val="Normal"/>
    <w:link w:val="FootnoteTextChar"/>
    <w:qFormat/>
    <w:rsid w:val="00C1086B"/>
    <w:pPr>
      <w:spacing w:before="120" w:line="360" w:lineRule="exact"/>
      <w:jc w:val="both"/>
    </w:pPr>
    <w:rPr>
      <w:rFonts w:ascii=".VnCentury Schoolbook" w:eastAsia="MS Mincho" w:hAnsi=".VnCentury Schoolbook"/>
      <w:sz w:val="20"/>
      <w:szCs w:val="20"/>
    </w:rPr>
  </w:style>
  <w:style w:type="character" w:customStyle="1" w:styleId="FootnoteTextChar">
    <w:name w:val="Footnote Text Char"/>
    <w:aliases w:val="Note de bas de page1 Char,Note de bas de page1 Char Char Char, Char5 Char, Char8 Char, Char Char,Char Char,Chu thich Char,Char5 Char,Char8 Char,Footnote Text Char Char Char Char Char Char,fn Char"/>
    <w:basedOn w:val="DefaultParagraphFont"/>
    <w:link w:val="FootnoteText"/>
    <w:qFormat/>
    <w:rsid w:val="00C1086B"/>
    <w:rPr>
      <w:rFonts w:ascii=".VnCentury Schoolbook" w:eastAsia="MS Mincho" w:hAnsi=".VnCentury Schoolbook" w:cs="Times New Roman"/>
      <w:sz w:val="20"/>
      <w:szCs w:val="20"/>
      <w:lang w:val="en-US"/>
    </w:rPr>
  </w:style>
  <w:style w:type="table" w:styleId="TableGrid">
    <w:name w:val="Table Grid"/>
    <w:basedOn w:val="TableNormal"/>
    <w:uiPriority w:val="39"/>
    <w:qFormat/>
    <w:rsid w:val="00C1086B"/>
    <w:pPr>
      <w:spacing w:after="0" w:line="240" w:lineRule="auto"/>
    </w:pPr>
    <w:rPr>
      <w:rFonts w:eastAsiaTheme="minorEastAsia"/>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804</Words>
  <Characters>4586</Characters>
  <Application>Microsoft Office Word</Application>
  <DocSecurity>0</DocSecurity>
  <Lines>38</Lines>
  <Paragraphs>10</Paragraphs>
  <ScaleCrop>false</ScaleCrop>
  <Company/>
  <LinksUpToDate>false</LinksUpToDate>
  <CharactersWithSpaces>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2025-12-13T03:09:00Z</dcterms:created>
  <dcterms:modified xsi:type="dcterms:W3CDTF">2025-12-13T03:10:00Z</dcterms:modified>
</cp:coreProperties>
</file>